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eastAsia="方正黑体_GBK"/>
          <w:szCs w:val="28"/>
          <w:lang w:val="en-US" w:eastAsia="zh-CN"/>
        </w:rPr>
      </w:pPr>
      <w:r>
        <w:rPr>
          <w:rFonts w:eastAsia="方正黑体_GBK"/>
          <w:szCs w:val="28"/>
        </w:rPr>
        <w:t>附件</w:t>
      </w:r>
      <w:r>
        <w:rPr>
          <w:rFonts w:hint="eastAsia" w:eastAsia="方正黑体_GBK"/>
          <w:szCs w:val="28"/>
          <w:lang w:val="en-US" w:eastAsia="zh-CN"/>
        </w:rPr>
        <w:t>1：</w:t>
      </w:r>
    </w:p>
    <w:p>
      <w:pPr>
        <w:spacing w:line="560" w:lineRule="exact"/>
        <w:ind w:right="872"/>
        <w:jc w:val="center"/>
        <w:rPr>
          <w:rFonts w:eastAsia="方正小标宋_GBK"/>
          <w:sz w:val="44"/>
          <w:szCs w:val="44"/>
        </w:rPr>
      </w:pPr>
    </w:p>
    <w:p>
      <w:pPr>
        <w:spacing w:line="560" w:lineRule="exact"/>
        <w:jc w:val="center"/>
        <w:rPr>
          <w:rFonts w:eastAsia="方正小标宋_GBK"/>
          <w:sz w:val="44"/>
          <w:szCs w:val="44"/>
          <w:shd w:val="clear" w:color="auto" w:fill="FFFFFF"/>
        </w:rPr>
      </w:pPr>
      <w:bookmarkStart w:id="0" w:name="_GoBack"/>
      <w:r>
        <w:rPr>
          <w:rFonts w:eastAsia="方正小标宋_GBK"/>
          <w:sz w:val="44"/>
          <w:szCs w:val="44"/>
          <w:shd w:val="clear" w:color="auto" w:fill="FFFFFF"/>
        </w:rPr>
        <w:t>甘肃省消防安全重点单位界定标准</w:t>
      </w:r>
    </w:p>
    <w:bookmarkEnd w:id="0"/>
    <w:p>
      <w:pPr>
        <w:spacing w:line="560" w:lineRule="exact"/>
        <w:ind w:firstLine="697" w:firstLineChars="218"/>
        <w:rPr>
          <w:rFonts w:eastAsia="仿宋_GB2312"/>
        </w:rPr>
      </w:pPr>
    </w:p>
    <w:p>
      <w:pPr>
        <w:spacing w:line="560" w:lineRule="exact"/>
        <w:ind w:firstLine="640" w:firstLineChars="200"/>
      </w:pPr>
      <w:r>
        <w:t>为贯彻执行</w:t>
      </w:r>
      <w:r>
        <w:rPr>
          <w:shd w:val="clear" w:color="auto" w:fill="FFFFFF"/>
        </w:rPr>
        <w:t>《中华人民共和国消防法》《甘肃省消防条例》</w:t>
      </w:r>
      <w:r>
        <w:t>，指导全省各级消防救援机构</w:t>
      </w:r>
      <w:r>
        <w:rPr>
          <w:shd w:val="clear" w:color="auto" w:fill="FFFFFF"/>
        </w:rPr>
        <w:t>科学准确界定消防安全重点单位，</w:t>
      </w:r>
      <w:r>
        <w:t>依法正确实施消防安全监督管理，根据本省实际，制定本标准。</w:t>
      </w:r>
    </w:p>
    <w:p>
      <w:pPr>
        <w:spacing w:line="560" w:lineRule="exact"/>
        <w:ind w:firstLine="640" w:firstLineChars="200"/>
        <w:rPr>
          <w:rFonts w:eastAsia="方正黑体_GBK"/>
        </w:rPr>
      </w:pPr>
      <w:r>
        <w:rPr>
          <w:rFonts w:eastAsia="方正黑体_GBK"/>
        </w:rPr>
        <w:t>一、界定标准</w:t>
      </w:r>
    </w:p>
    <w:p>
      <w:pPr>
        <w:spacing w:line="560" w:lineRule="exact"/>
        <w:ind w:firstLine="640" w:firstLineChars="200"/>
      </w:pPr>
      <w:r>
        <w:rPr>
          <w:rFonts w:eastAsia="方正楷体_GBK"/>
        </w:rPr>
        <w:t>（一）</w:t>
      </w:r>
      <w:r>
        <w:rPr>
          <w:rFonts w:eastAsia="方正楷体_GBK"/>
          <w:bCs/>
        </w:rPr>
        <w:t>购物、住宿、餐饮场所，集贸市场、商品交易市场，</w:t>
      </w:r>
      <w:r>
        <w:rPr>
          <w:rFonts w:eastAsia="方正楷体_GBK"/>
        </w:rPr>
        <w:t>体育场（馆）、会堂和公共娱乐场所等公众聚集场所</w:t>
      </w:r>
    </w:p>
    <w:p>
      <w:pPr>
        <w:spacing w:line="560" w:lineRule="exact"/>
        <w:ind w:firstLine="640" w:firstLineChars="200"/>
      </w:pPr>
      <w:r>
        <w:t>1.建筑面积3000㎡以上，或者</w:t>
      </w:r>
      <w:r>
        <w:rPr>
          <w:shd w:val="clear" w:color="auto" w:fill="FFFFFF"/>
        </w:rPr>
        <w:t>设置在地下、半地下建筑面积在1000</w:t>
      </w:r>
      <w:r>
        <w:t>㎡</w:t>
      </w:r>
      <w:r>
        <w:rPr>
          <w:shd w:val="clear" w:color="auto" w:fill="FFFFFF"/>
        </w:rPr>
        <w:t>以上</w:t>
      </w:r>
      <w:r>
        <w:t>的商场、超市等购物场所；</w:t>
      </w:r>
    </w:p>
    <w:p>
      <w:pPr>
        <w:spacing w:line="560" w:lineRule="exact"/>
        <w:ind w:firstLine="640" w:firstLineChars="200"/>
      </w:pPr>
      <w:r>
        <w:t>2.客房数100间以上，或者</w:t>
      </w:r>
      <w:r>
        <w:rPr>
          <w:shd w:val="clear" w:color="auto" w:fill="FFFFFF"/>
        </w:rPr>
        <w:t>设置在地下、半地下客房数50间以上</w:t>
      </w:r>
      <w:r>
        <w:rPr>
          <w:bCs/>
        </w:rPr>
        <w:t>的住宿场所</w:t>
      </w:r>
      <w:r>
        <w:t>；</w:t>
      </w:r>
    </w:p>
    <w:p>
      <w:pPr>
        <w:spacing w:line="560" w:lineRule="exact"/>
        <w:ind w:firstLine="640" w:firstLineChars="200"/>
      </w:pPr>
      <w:r>
        <w:t>3.建筑面积1500㎡以上</w:t>
      </w:r>
      <w:r>
        <w:rPr>
          <w:bCs/>
        </w:rPr>
        <w:t>的餐饮场所</w:t>
      </w:r>
      <w:r>
        <w:t>；</w:t>
      </w:r>
    </w:p>
    <w:p>
      <w:pPr>
        <w:spacing w:line="560" w:lineRule="exact"/>
        <w:ind w:firstLine="640" w:firstLineChars="200"/>
      </w:pPr>
      <w:r>
        <w:t>4.室内建筑面积或顶棚投影面积5</w:t>
      </w:r>
      <w:r>
        <w:rPr>
          <w:shd w:val="clear" w:color="auto" w:fill="FFFFFF"/>
        </w:rPr>
        <w:t>000</w:t>
      </w:r>
      <w:r>
        <w:t>㎡以上，或者室外占地面积8</w:t>
      </w:r>
      <w:r>
        <w:rPr>
          <w:shd w:val="clear" w:color="auto" w:fill="FFFFFF"/>
        </w:rPr>
        <w:t>000</w:t>
      </w:r>
      <w:r>
        <w:t>㎡以上的集贸市场和商品交易市场；</w:t>
      </w:r>
    </w:p>
    <w:p>
      <w:pPr>
        <w:spacing w:line="560" w:lineRule="exact"/>
        <w:ind w:firstLine="640" w:firstLineChars="200"/>
      </w:pPr>
      <w:r>
        <w:t>5.座位数3000个以上的公共体育场（馆）、座位数300个以上的会堂；</w:t>
      </w:r>
    </w:p>
    <w:p>
      <w:pPr>
        <w:spacing w:line="560" w:lineRule="exact"/>
        <w:ind w:firstLine="640" w:firstLineChars="200"/>
      </w:pPr>
      <w:r>
        <w:t>6.</w:t>
      </w:r>
      <w:r>
        <w:rPr>
          <w:bCs/>
        </w:rPr>
        <w:t>建筑面积1000㎡以上，</w:t>
      </w:r>
      <w:r>
        <w:t>或者设置在地下、半地下建筑面积在500㎡以上的公共娱乐场所、互联网上网服务营业场所、剧本娱乐经营场所。</w:t>
      </w:r>
    </w:p>
    <w:p>
      <w:pPr>
        <w:spacing w:line="560" w:lineRule="exact"/>
        <w:ind w:firstLine="640" w:firstLineChars="200"/>
        <w:rPr>
          <w:rFonts w:eastAsia="方正楷体_GBK"/>
        </w:rPr>
      </w:pPr>
      <w:r>
        <w:rPr>
          <w:rFonts w:eastAsia="方正楷体_GBK"/>
        </w:rPr>
        <w:t>（二）医院、养老机构、托育机构</w:t>
      </w:r>
    </w:p>
    <w:p>
      <w:pPr>
        <w:spacing w:line="560" w:lineRule="exact"/>
        <w:ind w:firstLine="640" w:firstLineChars="200"/>
      </w:pPr>
      <w:r>
        <w:t>1.</w:t>
      </w:r>
      <w:r>
        <w:rPr>
          <w:shd w:val="clear" w:color="auto" w:fill="FFFFFF"/>
        </w:rPr>
        <w:t>住院床位数300张以上的</w:t>
      </w:r>
      <w:r>
        <w:t>医院和医疗卫生机构；</w:t>
      </w:r>
    </w:p>
    <w:p>
      <w:pPr>
        <w:spacing w:line="560" w:lineRule="exact"/>
        <w:ind w:firstLine="640" w:firstLineChars="200"/>
      </w:pPr>
      <w:r>
        <w:t>2.床位数</w:t>
      </w:r>
      <w:r>
        <w:rPr>
          <w:shd w:val="clear" w:color="auto" w:fill="FFFFFF"/>
        </w:rPr>
        <w:t>100</w:t>
      </w:r>
      <w:r>
        <w:t>张以上的养老</w:t>
      </w:r>
      <w:r>
        <w:rPr>
          <w:shd w:val="clear" w:color="auto" w:fill="FFFFFF"/>
        </w:rPr>
        <w:t>机构</w:t>
      </w:r>
      <w:r>
        <w:t>和医养结合机构；</w:t>
      </w:r>
    </w:p>
    <w:p>
      <w:pPr>
        <w:pStyle w:val="2"/>
        <w:spacing w:line="560" w:lineRule="exact"/>
        <w:ind w:firstLine="640"/>
        <w:rPr>
          <w:rFonts w:ascii="Times New Roman" w:cs="Times New Roman"/>
          <w:sz w:val="32"/>
          <w:szCs w:val="32"/>
          <w:lang w:val="en-US"/>
        </w:rPr>
      </w:pPr>
      <w:r>
        <w:rPr>
          <w:rFonts w:ascii="Times New Roman" w:cs="Times New Roman"/>
          <w:sz w:val="32"/>
          <w:szCs w:val="32"/>
          <w:lang w:val="en-US"/>
        </w:rPr>
        <w:t>3.床位数50张以上的托育机构。</w:t>
      </w:r>
    </w:p>
    <w:p>
      <w:pPr>
        <w:pStyle w:val="2"/>
        <w:spacing w:line="560" w:lineRule="exact"/>
        <w:ind w:firstLine="640"/>
        <w:rPr>
          <w:rFonts w:ascii="Times New Roman" w:eastAsia="方正楷体_GBK" w:cs="Times New Roman"/>
          <w:sz w:val="32"/>
          <w:szCs w:val="32"/>
        </w:rPr>
      </w:pPr>
      <w:r>
        <w:rPr>
          <w:rFonts w:ascii="Times New Roman" w:eastAsia="方正楷体_GBK" w:cs="Times New Roman"/>
          <w:sz w:val="32"/>
          <w:szCs w:val="32"/>
          <w:lang w:val="en-US"/>
        </w:rPr>
        <w:t>（三）</w:t>
      </w:r>
      <w:r>
        <w:rPr>
          <w:rFonts w:ascii="Times New Roman" w:eastAsia="方正楷体_GBK" w:cs="Times New Roman"/>
          <w:sz w:val="32"/>
          <w:szCs w:val="32"/>
        </w:rPr>
        <w:t>学校和其他教育机构</w:t>
      </w:r>
    </w:p>
    <w:p>
      <w:pPr>
        <w:pStyle w:val="2"/>
        <w:spacing w:line="560" w:lineRule="exact"/>
        <w:ind w:firstLine="640"/>
        <w:rPr>
          <w:rFonts w:ascii="Times New Roman" w:cs="Times New Roman"/>
          <w:sz w:val="32"/>
          <w:szCs w:val="32"/>
        </w:rPr>
      </w:pPr>
      <w:r>
        <w:rPr>
          <w:rFonts w:ascii="Times New Roman" w:cs="Times New Roman"/>
          <w:sz w:val="32"/>
          <w:szCs w:val="32"/>
          <w:lang w:val="en-US"/>
        </w:rPr>
        <w:t>1.床位数200张以上的</w:t>
      </w:r>
      <w:r>
        <w:rPr>
          <w:rFonts w:ascii="Times New Roman" w:cs="Times New Roman"/>
          <w:sz w:val="32"/>
          <w:szCs w:val="32"/>
        </w:rPr>
        <w:t>幼儿园；</w:t>
      </w:r>
    </w:p>
    <w:p>
      <w:pPr>
        <w:pStyle w:val="2"/>
        <w:spacing w:line="560" w:lineRule="exact"/>
        <w:ind w:firstLine="640"/>
        <w:rPr>
          <w:rFonts w:ascii="Times New Roman" w:cs="Times New Roman"/>
          <w:sz w:val="32"/>
          <w:szCs w:val="32"/>
        </w:rPr>
      </w:pPr>
      <w:r>
        <w:rPr>
          <w:rFonts w:ascii="Times New Roman" w:cs="Times New Roman"/>
          <w:sz w:val="32"/>
          <w:szCs w:val="32"/>
          <w:lang w:val="en-US"/>
        </w:rPr>
        <w:t>2.</w:t>
      </w:r>
      <w:r>
        <w:rPr>
          <w:rFonts w:ascii="Times New Roman" w:cs="Times New Roman"/>
          <w:sz w:val="32"/>
          <w:szCs w:val="32"/>
        </w:rPr>
        <w:t>住校学生</w:t>
      </w:r>
      <w:r>
        <w:rPr>
          <w:rFonts w:ascii="Times New Roman" w:cs="Times New Roman"/>
          <w:sz w:val="32"/>
          <w:szCs w:val="32"/>
          <w:shd w:val="clear" w:color="auto" w:fill="FFFFFF"/>
        </w:rPr>
        <w:t>500</w:t>
      </w:r>
      <w:r>
        <w:rPr>
          <w:rFonts w:ascii="Times New Roman" w:cs="Times New Roman"/>
          <w:sz w:val="32"/>
          <w:szCs w:val="32"/>
        </w:rPr>
        <w:t>人以上的中、小学校；</w:t>
      </w:r>
    </w:p>
    <w:p>
      <w:pPr>
        <w:pStyle w:val="2"/>
        <w:spacing w:line="560" w:lineRule="exact"/>
        <w:ind w:firstLine="640"/>
        <w:rPr>
          <w:rFonts w:ascii="Times New Roman" w:cs="Times New Roman"/>
          <w:sz w:val="32"/>
          <w:szCs w:val="32"/>
          <w:lang w:val="en-US"/>
        </w:rPr>
      </w:pPr>
      <w:r>
        <w:rPr>
          <w:rFonts w:ascii="Times New Roman" w:cs="Times New Roman"/>
          <w:sz w:val="32"/>
          <w:szCs w:val="32"/>
          <w:lang w:val="en-US"/>
        </w:rPr>
        <w:t>3.高等学校；</w:t>
      </w:r>
    </w:p>
    <w:p>
      <w:pPr>
        <w:pStyle w:val="2"/>
        <w:spacing w:line="560" w:lineRule="exact"/>
        <w:ind w:firstLine="640"/>
        <w:rPr>
          <w:rFonts w:ascii="Times New Roman" w:cs="Times New Roman"/>
          <w:sz w:val="32"/>
          <w:szCs w:val="32"/>
        </w:rPr>
      </w:pPr>
      <w:r>
        <w:rPr>
          <w:rFonts w:ascii="Times New Roman" w:cs="Times New Roman"/>
          <w:sz w:val="32"/>
          <w:szCs w:val="32"/>
          <w:lang w:val="en-US"/>
        </w:rPr>
        <w:t>4.建筑面积2000</w:t>
      </w:r>
      <w:r>
        <w:rPr>
          <w:rFonts w:ascii="Times New Roman" w:cs="Times New Roman"/>
          <w:sz w:val="32"/>
          <w:szCs w:val="32"/>
        </w:rPr>
        <w:t>㎡以上</w:t>
      </w:r>
      <w:r>
        <w:rPr>
          <w:rFonts w:ascii="Times New Roman" w:cs="Times New Roman"/>
          <w:sz w:val="32"/>
          <w:szCs w:val="32"/>
          <w:lang w:val="en-US"/>
        </w:rPr>
        <w:t>的其他教育机构</w:t>
      </w:r>
      <w:r>
        <w:rPr>
          <w:rFonts w:ascii="Times New Roman" w:cs="Times New Roman"/>
          <w:sz w:val="32"/>
          <w:szCs w:val="32"/>
        </w:rPr>
        <w:t>。</w:t>
      </w:r>
    </w:p>
    <w:p>
      <w:pPr>
        <w:spacing w:line="560" w:lineRule="exact"/>
        <w:ind w:firstLine="640" w:firstLineChars="200"/>
        <w:rPr>
          <w:rFonts w:eastAsia="方正楷体_GBK"/>
        </w:rPr>
      </w:pPr>
      <w:r>
        <w:rPr>
          <w:rFonts w:eastAsia="方正楷体_GBK"/>
        </w:rPr>
        <w:t>（四）国家机关</w:t>
      </w:r>
    </w:p>
    <w:p>
      <w:pPr>
        <w:spacing w:line="560" w:lineRule="exact"/>
        <w:ind w:firstLine="640" w:firstLineChars="200"/>
      </w:pPr>
      <w:r>
        <w:t>1.市（州）级以上党委、人大、政府、政协等国家机关的办公场所；</w:t>
      </w:r>
    </w:p>
    <w:p>
      <w:pPr>
        <w:spacing w:line="560" w:lineRule="exact"/>
        <w:ind w:firstLine="640" w:firstLineChars="200"/>
      </w:pPr>
      <w:r>
        <w:t>2.市（州）级以上人民检察院、人民法院</w:t>
      </w:r>
      <w:r>
        <w:rPr>
          <w:bCs/>
        </w:rPr>
        <w:t>的办公场所</w:t>
      </w:r>
      <w:r>
        <w:t>。</w:t>
      </w:r>
    </w:p>
    <w:p>
      <w:pPr>
        <w:spacing w:line="560" w:lineRule="exact"/>
        <w:ind w:firstLine="640" w:firstLineChars="200"/>
        <w:rPr>
          <w:rFonts w:eastAsia="方正楷体_GBK"/>
        </w:rPr>
      </w:pPr>
      <w:r>
        <w:rPr>
          <w:rFonts w:eastAsia="方正楷体_GBK"/>
        </w:rPr>
        <w:t>（五）广播电台、电视台，邮政、通信枢纽，商业银行、非银行金融机构</w:t>
      </w:r>
    </w:p>
    <w:p>
      <w:pPr>
        <w:spacing w:line="560" w:lineRule="exact"/>
        <w:ind w:firstLine="640" w:firstLineChars="200"/>
      </w:pPr>
      <w:r>
        <w:t>1.市（州）级以上广播电台、电视台；</w:t>
      </w:r>
    </w:p>
    <w:p>
      <w:pPr>
        <w:spacing w:line="560" w:lineRule="exact"/>
        <w:ind w:firstLine="640" w:firstLineChars="200"/>
      </w:pPr>
      <w:r>
        <w:t>2.市（州）级以上邮政、通信枢纽单位；</w:t>
      </w:r>
    </w:p>
    <w:p>
      <w:pPr>
        <w:spacing w:line="560" w:lineRule="exact"/>
        <w:ind w:firstLine="640" w:firstLineChars="200"/>
      </w:pPr>
      <w:r>
        <w:t>3.</w:t>
      </w:r>
      <w:r>
        <w:rPr>
          <w:bCs/>
        </w:rPr>
        <w:t>建筑面积5000㎡以上</w:t>
      </w:r>
      <w:r>
        <w:t>的商业银行和非银行金融机构。</w:t>
      </w:r>
    </w:p>
    <w:p>
      <w:pPr>
        <w:spacing w:line="560" w:lineRule="exact"/>
        <w:ind w:firstLine="640" w:firstLineChars="200"/>
        <w:rPr>
          <w:rFonts w:eastAsia="方正楷体_GBK"/>
        </w:rPr>
      </w:pPr>
      <w:r>
        <w:rPr>
          <w:rFonts w:eastAsia="方正楷体_GBK"/>
        </w:rPr>
        <w:t>（六）客运车站、码头、汽车库和民用机场</w:t>
      </w:r>
    </w:p>
    <w:p>
      <w:pPr>
        <w:spacing w:line="560" w:lineRule="exact"/>
        <w:ind w:firstLine="640" w:firstLineChars="200"/>
      </w:pPr>
      <w:r>
        <w:t>1.建筑面积2000㎡以上的客运车站、码头；</w:t>
      </w:r>
    </w:p>
    <w:p>
      <w:pPr>
        <w:spacing w:line="560" w:lineRule="exact"/>
        <w:ind w:firstLine="640" w:firstLineChars="200"/>
      </w:pPr>
      <w:r>
        <w:t>2.容量300辆以上的室内汽车库；</w:t>
      </w:r>
    </w:p>
    <w:p>
      <w:pPr>
        <w:spacing w:line="560" w:lineRule="exact"/>
        <w:ind w:firstLine="640" w:firstLineChars="200"/>
      </w:pPr>
      <w:r>
        <w:t>3.民用机场（含军民合用机场）。</w:t>
      </w:r>
    </w:p>
    <w:p>
      <w:pPr>
        <w:spacing w:line="560" w:lineRule="exact"/>
        <w:ind w:firstLine="640" w:firstLineChars="200"/>
        <w:rPr>
          <w:rFonts w:eastAsia="方正楷体_GBK"/>
        </w:rPr>
      </w:pPr>
      <w:r>
        <w:rPr>
          <w:rFonts w:eastAsia="方正楷体_GBK"/>
        </w:rPr>
        <w:t>（七）公共图书馆、展览馆、博物馆、档案馆、</w:t>
      </w:r>
      <w:r>
        <w:rPr>
          <w:rFonts w:eastAsia="方正楷体_GBK"/>
          <w:bCs/>
        </w:rPr>
        <w:t>文化馆，</w:t>
      </w:r>
      <w:r>
        <w:rPr>
          <w:rFonts w:eastAsia="方正楷体_GBK"/>
        </w:rPr>
        <w:t>具有火灾危险性的文物保护单位，宗教活动场所以及旅游景区</w:t>
      </w:r>
    </w:p>
    <w:p>
      <w:pPr>
        <w:spacing w:line="560" w:lineRule="exact"/>
        <w:ind w:firstLine="640" w:firstLineChars="200"/>
      </w:pPr>
      <w:r>
        <w:t>1.建筑面积3000㎡以上的公共图书馆、展览馆、博物馆、档案馆、文化馆；</w:t>
      </w:r>
    </w:p>
    <w:p>
      <w:pPr>
        <w:spacing w:line="560" w:lineRule="exact"/>
        <w:ind w:firstLine="640" w:firstLineChars="200"/>
      </w:pPr>
      <w:r>
        <w:t>2.省级以上具有火灾危险性的文物保护单位；</w:t>
      </w:r>
    </w:p>
    <w:p>
      <w:pPr>
        <w:pStyle w:val="2"/>
        <w:spacing w:line="560" w:lineRule="exact"/>
        <w:ind w:firstLine="640"/>
        <w:rPr>
          <w:rFonts w:ascii="Times New Roman" w:cs="Times New Roman"/>
          <w:kern w:val="2"/>
          <w:sz w:val="32"/>
          <w:szCs w:val="32"/>
          <w:lang w:val="en-US"/>
        </w:rPr>
      </w:pPr>
      <w:r>
        <w:rPr>
          <w:rFonts w:ascii="Times New Roman" w:cs="Times New Roman"/>
          <w:kern w:val="2"/>
          <w:sz w:val="32"/>
          <w:szCs w:val="32"/>
          <w:lang w:val="en-US"/>
        </w:rPr>
        <w:t>3.总建筑面积2000㎡以上的宗教活动场所；</w:t>
      </w:r>
    </w:p>
    <w:p>
      <w:pPr>
        <w:pStyle w:val="2"/>
        <w:spacing w:line="560" w:lineRule="exact"/>
        <w:ind w:firstLine="640"/>
        <w:rPr>
          <w:rFonts w:ascii="Times New Roman" w:cs="Times New Roman"/>
          <w:kern w:val="2"/>
          <w:sz w:val="32"/>
          <w:szCs w:val="32"/>
          <w:highlight w:val="yellow"/>
          <w:lang w:val="en-US"/>
        </w:rPr>
      </w:pPr>
      <w:r>
        <w:rPr>
          <w:rFonts w:ascii="Times New Roman" w:cs="Times New Roman"/>
          <w:kern w:val="2"/>
          <w:sz w:val="32"/>
          <w:szCs w:val="32"/>
          <w:lang w:val="en-US"/>
        </w:rPr>
        <w:t>4.国家AAAA级以上旅游景区。</w:t>
      </w:r>
    </w:p>
    <w:p>
      <w:pPr>
        <w:spacing w:line="560" w:lineRule="exact"/>
        <w:ind w:firstLine="640" w:firstLineChars="200"/>
        <w:rPr>
          <w:rFonts w:eastAsia="方正楷体_GBK"/>
          <w:bCs/>
        </w:rPr>
      </w:pPr>
      <w:r>
        <w:rPr>
          <w:rFonts w:eastAsia="方正楷体_GBK"/>
          <w:bCs/>
        </w:rPr>
        <w:t>（八）发电厂（站）、电化学储能站和电力调度单位</w:t>
      </w:r>
    </w:p>
    <w:p>
      <w:pPr>
        <w:spacing w:line="560" w:lineRule="exact"/>
        <w:ind w:firstLine="640" w:firstLineChars="200"/>
        <w:rPr>
          <w:bCs/>
        </w:rPr>
      </w:pPr>
      <w:r>
        <w:rPr>
          <w:bCs/>
        </w:rPr>
        <w:t>1.总装机容量150MW以上的火力、水力、风力、光伏发电厂（站）；</w:t>
      </w:r>
    </w:p>
    <w:p>
      <w:pPr>
        <w:spacing w:line="560" w:lineRule="exact"/>
        <w:ind w:firstLine="640" w:firstLineChars="200"/>
      </w:pPr>
      <w:r>
        <w:t>2.设有电化学储能装置的发电厂（站）和独立电化学储能站；</w:t>
      </w:r>
    </w:p>
    <w:p>
      <w:pPr>
        <w:spacing w:line="560" w:lineRule="exact"/>
        <w:ind w:firstLine="640" w:firstLineChars="200"/>
        <w:rPr>
          <w:bCs/>
          <w:highlight w:val="yellow"/>
        </w:rPr>
      </w:pPr>
      <w:r>
        <w:rPr>
          <w:bCs/>
        </w:rPr>
        <w:t>3.省、市（州）、县（区）电力调度单位。</w:t>
      </w:r>
    </w:p>
    <w:p>
      <w:pPr>
        <w:spacing w:line="560" w:lineRule="exact"/>
        <w:ind w:firstLine="640" w:firstLineChars="200"/>
        <w:rPr>
          <w:rFonts w:eastAsia="方正楷体_GBK"/>
        </w:rPr>
      </w:pPr>
      <w:r>
        <w:rPr>
          <w:rFonts w:eastAsia="方正楷体_GBK"/>
        </w:rPr>
        <w:t>（九）易燃易爆化学物品的生产、充装、储存、供应、销售单位</w:t>
      </w:r>
    </w:p>
    <w:p>
      <w:pPr>
        <w:spacing w:line="560" w:lineRule="exact"/>
        <w:ind w:firstLine="640" w:firstLineChars="200"/>
      </w:pPr>
      <w:r>
        <w:t>1.生产、储存易燃易爆化学物品的工厂、专用仓库（堆场、储罐区）；</w:t>
      </w:r>
    </w:p>
    <w:p>
      <w:pPr>
        <w:spacing w:line="560" w:lineRule="exact"/>
        <w:ind w:firstLine="640" w:firstLineChars="200"/>
      </w:pPr>
      <w:r>
        <w:t>2.易燃易爆气体、液体的灌装站、调压站；</w:t>
      </w:r>
    </w:p>
    <w:p>
      <w:pPr>
        <w:spacing w:line="560" w:lineRule="exact"/>
        <w:ind w:firstLine="640" w:firstLineChars="200"/>
      </w:pPr>
      <w:r>
        <w:t>3.二级以上的石油库；</w:t>
      </w:r>
    </w:p>
    <w:p>
      <w:pPr>
        <w:spacing w:line="560" w:lineRule="exact"/>
        <w:ind w:firstLine="640" w:firstLineChars="200"/>
      </w:pPr>
      <w:r>
        <w:t>4.二级以上的汽车加油站、加气站、加油加气站；</w:t>
      </w:r>
    </w:p>
    <w:p>
      <w:pPr>
        <w:spacing w:line="560" w:lineRule="exact"/>
        <w:ind w:firstLine="640" w:firstLineChars="200"/>
        <w:rPr>
          <w:bCs/>
          <w:highlight w:val="yellow"/>
          <w:bdr w:val="single" w:color="auto" w:sz="4" w:space="0"/>
        </w:rPr>
      </w:pPr>
      <w:r>
        <w:rPr>
          <w:bCs/>
        </w:rPr>
        <w:t>5.液化石油气供应站（换瓶站）；</w:t>
      </w:r>
    </w:p>
    <w:p>
      <w:pPr>
        <w:spacing w:line="560" w:lineRule="exact"/>
        <w:ind w:firstLine="640" w:firstLineChars="200"/>
      </w:pPr>
      <w:r>
        <w:t>6.营业面积300㎡以上或存放易燃易爆物品重量500kg以上的化工商店。</w:t>
      </w:r>
    </w:p>
    <w:p>
      <w:pPr>
        <w:spacing w:line="560" w:lineRule="exact"/>
        <w:ind w:firstLine="640" w:firstLineChars="200"/>
        <w:rPr>
          <w:rFonts w:eastAsia="方正楷体_GBK"/>
        </w:rPr>
      </w:pPr>
      <w:r>
        <w:rPr>
          <w:rFonts w:eastAsia="方正楷体_GBK"/>
        </w:rPr>
        <w:t>（十）服装、制鞋等劳动密集型生产、加工企业</w:t>
      </w:r>
    </w:p>
    <w:p>
      <w:pPr>
        <w:spacing w:line="560" w:lineRule="exact"/>
        <w:ind w:firstLine="640" w:firstLineChars="200"/>
      </w:pPr>
      <w:r>
        <w:t>员工人数100人以上的服装、制鞋、玩具、火柴、灌装、组装、包装等劳动密集型生产、加工企业。</w:t>
      </w:r>
    </w:p>
    <w:p>
      <w:pPr>
        <w:spacing w:line="560" w:lineRule="exact"/>
        <w:ind w:firstLine="640" w:firstLineChars="200"/>
        <w:rPr>
          <w:rFonts w:eastAsia="方正楷体_GBK"/>
        </w:rPr>
      </w:pPr>
      <w:r>
        <w:rPr>
          <w:rFonts w:eastAsia="方正楷体_GBK"/>
        </w:rPr>
        <w:t>（十一）重要的科研单位</w:t>
      </w:r>
    </w:p>
    <w:p>
      <w:pPr>
        <w:spacing w:line="560" w:lineRule="exact"/>
        <w:ind w:firstLine="640" w:firstLineChars="200"/>
      </w:pPr>
      <w:r>
        <w:t>国家级、省级及承担国家重点科研项目的科研单位。</w:t>
      </w:r>
    </w:p>
    <w:p>
      <w:pPr>
        <w:spacing w:line="560" w:lineRule="exact"/>
        <w:ind w:firstLine="640" w:firstLineChars="200"/>
        <w:rPr>
          <w:rFonts w:eastAsia="方正楷体_GBK"/>
        </w:rPr>
      </w:pPr>
      <w:r>
        <w:rPr>
          <w:rFonts w:eastAsia="方正楷体_GBK"/>
        </w:rPr>
        <w:t>（十二）</w:t>
      </w:r>
      <w:r>
        <w:rPr>
          <w:rFonts w:eastAsia="方正楷体_GBK"/>
          <w:bCs/>
        </w:rPr>
        <w:t>高层民用建筑，商业综合体，城市地下铁道，物流仓储场所和粮、棉、木材等物资集中的大型仓库、堆场</w:t>
      </w:r>
    </w:p>
    <w:p>
      <w:pPr>
        <w:spacing w:line="560" w:lineRule="exact"/>
        <w:ind w:firstLine="640" w:firstLineChars="200"/>
      </w:pPr>
      <w:r>
        <w:t>1.用作办公楼</w:t>
      </w:r>
      <w:r>
        <w:rPr>
          <w:rFonts w:hint="eastAsia"/>
          <w:lang w:eastAsia="zh-CN"/>
        </w:rPr>
        <w:t>（</w:t>
      </w:r>
      <w:r>
        <w:t>写字楼</w:t>
      </w:r>
      <w:r>
        <w:rPr>
          <w:rFonts w:hint="eastAsia"/>
          <w:lang w:eastAsia="zh-CN"/>
        </w:rPr>
        <w:t>）</w:t>
      </w:r>
      <w:r>
        <w:t>、综合楼、公寓楼的一类高层公共建筑，含有一类高层建筑的住宅小区；</w:t>
      </w:r>
    </w:p>
    <w:p>
      <w:pPr>
        <w:spacing w:line="560" w:lineRule="exact"/>
        <w:ind w:firstLine="640" w:firstLineChars="200"/>
        <w:rPr>
          <w:bCs/>
        </w:rPr>
      </w:pPr>
      <w:r>
        <w:rPr>
          <w:bCs/>
        </w:rPr>
        <w:t>2.城市地下铁道及其附属公共建筑；</w:t>
      </w:r>
    </w:p>
    <w:p>
      <w:pPr>
        <w:spacing w:line="560" w:lineRule="exact"/>
        <w:ind w:firstLine="640" w:firstLineChars="200"/>
        <w:rPr>
          <w:bCs/>
        </w:rPr>
      </w:pPr>
      <w:r>
        <w:rPr>
          <w:bCs/>
        </w:rPr>
        <w:t>3.总建筑面积5000㎡以上的丙类仓库、物流仓储等场所；</w:t>
      </w:r>
    </w:p>
    <w:p>
      <w:pPr>
        <w:spacing w:line="560" w:lineRule="exact"/>
        <w:ind w:firstLine="640" w:firstLineChars="200"/>
      </w:pPr>
      <w:r>
        <w:t>4.国家储备粮库、总储量20000吨以上的其他粮库；</w:t>
      </w:r>
    </w:p>
    <w:p>
      <w:pPr>
        <w:spacing w:line="560" w:lineRule="exact"/>
        <w:ind w:firstLine="640" w:firstLineChars="200"/>
      </w:pPr>
      <w:r>
        <w:t>5.总储量500吨以上的棉库；</w:t>
      </w:r>
    </w:p>
    <w:p>
      <w:pPr>
        <w:spacing w:line="560" w:lineRule="exact"/>
        <w:ind w:firstLine="640" w:firstLineChars="200"/>
      </w:pPr>
      <w:r>
        <w:t>6.总储量10000m</w:t>
      </w:r>
      <w:r>
        <w:rPr>
          <w:vertAlign w:val="superscript"/>
        </w:rPr>
        <w:t>3</w:t>
      </w:r>
      <w:r>
        <w:t>以上的木材堆场。</w:t>
      </w:r>
    </w:p>
    <w:p>
      <w:pPr>
        <w:spacing w:line="560" w:lineRule="exact"/>
        <w:ind w:firstLine="640" w:firstLineChars="200"/>
        <w:rPr>
          <w:rFonts w:eastAsia="方正楷体_GBK"/>
          <w:bCs/>
        </w:rPr>
      </w:pPr>
      <w:r>
        <w:rPr>
          <w:rFonts w:eastAsia="方正楷体_GBK"/>
          <w:bCs/>
        </w:rPr>
        <w:t>（十三）其他发生火灾可能性较大以及发生火灾可能造成重大的人身伤亡或者财产损失的单位</w:t>
      </w:r>
    </w:p>
    <w:p>
      <w:pPr>
        <w:spacing w:line="560" w:lineRule="exact"/>
        <w:ind w:firstLine="640" w:firstLineChars="200"/>
        <w:rPr>
          <w:rFonts w:eastAsia="方正黑体_GBK"/>
        </w:rPr>
      </w:pPr>
      <w:r>
        <w:rPr>
          <w:rFonts w:eastAsia="方正黑体_GBK"/>
        </w:rPr>
        <w:t>二、附则</w:t>
      </w:r>
    </w:p>
    <w:p>
      <w:pPr>
        <w:pStyle w:val="2"/>
        <w:spacing w:line="560" w:lineRule="exact"/>
        <w:ind w:firstLine="640"/>
        <w:rPr>
          <w:rFonts w:ascii="Times New Roman" w:cs="Times New Roman"/>
          <w:sz w:val="32"/>
          <w:szCs w:val="32"/>
        </w:rPr>
      </w:pPr>
      <w:r>
        <w:rPr>
          <w:rFonts w:ascii="Times New Roman" w:eastAsia="方正楷体_GBK" w:cs="Times New Roman"/>
          <w:sz w:val="32"/>
          <w:szCs w:val="32"/>
        </w:rPr>
        <w:t>（一）</w:t>
      </w:r>
      <w:r>
        <w:rPr>
          <w:rFonts w:ascii="Times New Roman" w:cs="Times New Roman"/>
          <w:sz w:val="32"/>
          <w:szCs w:val="32"/>
        </w:rPr>
        <w:t>互联网上网服务营业场所，是指通过计算机等装置向公众提供互联网上网服务的网吧、电脑休闲室等营业性场所。</w:t>
      </w:r>
    </w:p>
    <w:p>
      <w:pPr>
        <w:pStyle w:val="2"/>
        <w:spacing w:line="560" w:lineRule="exact"/>
        <w:ind w:firstLine="640"/>
        <w:rPr>
          <w:rFonts w:ascii="Times New Roman" w:cs="Times New Roman"/>
          <w:sz w:val="32"/>
          <w:szCs w:val="32"/>
        </w:rPr>
      </w:pPr>
      <w:r>
        <w:rPr>
          <w:rFonts w:ascii="Times New Roman" w:eastAsia="方正楷体_GBK" w:cs="Times New Roman"/>
          <w:sz w:val="32"/>
          <w:szCs w:val="32"/>
        </w:rPr>
        <w:t>（二）</w:t>
      </w:r>
      <w:r>
        <w:rPr>
          <w:rFonts w:ascii="Times New Roman" w:cs="Times New Roman"/>
          <w:sz w:val="32"/>
          <w:szCs w:val="32"/>
        </w:rPr>
        <w:t>剧本娱乐经营场所，</w:t>
      </w:r>
      <w:r>
        <w:rPr>
          <w:rFonts w:ascii="Times New Roman" w:cs="Times New Roman"/>
          <w:sz w:val="32"/>
          <w:szCs w:val="32"/>
          <w:lang w:val="en-US"/>
        </w:rPr>
        <w:t>是指</w:t>
      </w:r>
      <w:r>
        <w:rPr>
          <w:rFonts w:ascii="Times New Roman" w:cs="Times New Roman"/>
          <w:sz w:val="32"/>
          <w:szCs w:val="32"/>
        </w:rPr>
        <w:t>现场组织消费者扮演角色完成任务的“剧本杀”“密室逃脱”等经营性场所。</w:t>
      </w:r>
    </w:p>
    <w:p>
      <w:pPr>
        <w:spacing w:line="560" w:lineRule="exact"/>
        <w:ind w:firstLine="640" w:firstLineChars="200"/>
        <w:rPr>
          <w:bCs/>
        </w:rPr>
      </w:pPr>
      <w:r>
        <w:rPr>
          <w:rFonts w:eastAsia="方正楷体_GBK"/>
          <w:kern w:val="0"/>
          <w:lang w:val="zh-CN"/>
        </w:rPr>
        <w:t>（三）</w:t>
      </w:r>
      <w:r>
        <w:rPr>
          <w:bCs/>
        </w:rPr>
        <w:t>同时符合两条以上界定标准的，按较低标准执行。</w:t>
      </w:r>
    </w:p>
    <w:p>
      <w:pPr>
        <w:spacing w:line="560" w:lineRule="exact"/>
        <w:ind w:firstLine="640" w:firstLineChars="200"/>
      </w:pPr>
      <w:r>
        <w:rPr>
          <w:rFonts w:eastAsia="方正楷体_GBK"/>
          <w:kern w:val="0"/>
          <w:lang w:val="zh-CN"/>
        </w:rPr>
        <w:t>（四）</w:t>
      </w:r>
      <w:r>
        <w:t>本标准中所称“以上”均含本级、本数。</w:t>
      </w:r>
    </w:p>
    <w:p>
      <w:pPr>
        <w:snapToGrid w:val="0"/>
        <w:spacing w:line="560" w:lineRule="exact"/>
        <w:ind w:firstLine="640" w:firstLineChars="200"/>
      </w:pPr>
      <w:r>
        <w:rPr>
          <w:rFonts w:eastAsia="方正楷体_GBK"/>
          <w:kern w:val="0"/>
          <w:lang w:val="zh-CN"/>
        </w:rPr>
        <w:t>（五）</w:t>
      </w:r>
      <w:r>
        <w:t>本标准由甘肃省消防救援总队负责解释。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Mzc2ODQ3ODlkNDZkZjU3YTBlNDRhZTE5ZmEyMDkifQ=="/>
  </w:docVars>
  <w:rsids>
    <w:rsidRoot w:val="46F16CBE"/>
    <w:rsid w:val="46F16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line="300" w:lineRule="auto"/>
      <w:ind w:firstLine="482" w:firstLineChars="200"/>
    </w:pPr>
    <w:rPr>
      <w:rFonts w:ascii="宋体" w:cs="宋体"/>
      <w:kern w:val="0"/>
      <w:sz w:val="24"/>
      <w:szCs w:val="24"/>
      <w:lang w:val="zh-CN"/>
    </w:rPr>
  </w:style>
  <w:style w:type="paragraph" w:styleId="3">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2023-12-14T02:33:00Z</dcterms:created>
  <dc:creator>患得患失</dc:creator>
  <cp:lastModifiedBy>患得患失</cp:lastModifiedBy>
  <cp:lastPrinted>2023-12-14T02:34:15Z</cp:lastPrinted>
  <dcterms:modified xsi:type="dcterms:W3CDTF">2023-12-14T02:38:58Z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1A403353C7B54FCC9517E263B481B728_11</vt:lpwstr>
  </property>
</Properties>
</file>